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82" w:rsidRPr="00910FE3" w:rsidRDefault="0003766A" w:rsidP="0031584B">
      <w:pPr>
        <w:ind w:left="720" w:hanging="360"/>
        <w:jc w:val="both"/>
        <w:rPr>
          <w:b/>
          <w:bCs/>
        </w:rPr>
      </w:pPr>
      <w:r w:rsidRPr="00910FE3">
        <w:rPr>
          <w:b/>
          <w:bCs/>
        </w:rPr>
        <w:t xml:space="preserve">        </w:t>
      </w:r>
      <w:r w:rsidR="00002A19">
        <w:rPr>
          <w:b/>
          <w:bCs/>
        </w:rPr>
        <w:t xml:space="preserve">                       </w:t>
      </w:r>
      <w:bookmarkStart w:id="0" w:name="_GoBack"/>
      <w:bookmarkEnd w:id="0"/>
      <w:r w:rsidR="008D3B82" w:rsidRPr="00910FE3">
        <w:rPr>
          <w:b/>
          <w:bCs/>
        </w:rPr>
        <w:t>INFORMATION TECHNOLOGY ACT 2000</w:t>
      </w:r>
    </w:p>
    <w:p w:rsidR="008D3B82" w:rsidRDefault="008D3B82" w:rsidP="0031584B">
      <w:pPr>
        <w:pStyle w:val="ListParagraph"/>
        <w:numPr>
          <w:ilvl w:val="0"/>
          <w:numId w:val="5"/>
        </w:numPr>
        <w:jc w:val="both"/>
        <w:rPr>
          <w:rFonts w:eastAsia="Times New Roman"/>
          <w:color w:val="000000" w:themeColor="text1"/>
          <w:shd w:val="clear" w:color="auto" w:fill="FFFFFF"/>
        </w:rPr>
      </w:pPr>
    </w:p>
    <w:p w:rsidR="008927F5" w:rsidRPr="00C35751" w:rsidRDefault="001C4C25" w:rsidP="0031584B">
      <w:pPr>
        <w:pStyle w:val="ListParagraph"/>
        <w:numPr>
          <w:ilvl w:val="0"/>
          <w:numId w:val="5"/>
        </w:numPr>
        <w:jc w:val="both"/>
        <w:rPr>
          <w:rFonts w:eastAsia="Times New Roman"/>
          <w:color w:val="000000" w:themeColor="text1"/>
          <w:shd w:val="clear" w:color="auto" w:fill="FFFFFF"/>
        </w:rPr>
      </w:pPr>
      <w:r w:rsidRPr="00C35751">
        <w:rPr>
          <w:rFonts w:eastAsia="Times New Roman"/>
          <w:color w:val="000000" w:themeColor="text1"/>
          <w:shd w:val="clear" w:color="auto" w:fill="FFFFFF"/>
        </w:rPr>
        <w:t>1.</w:t>
      </w:r>
      <w:r w:rsidR="001046D7" w:rsidRPr="00C35751">
        <w:rPr>
          <w:rFonts w:eastAsia="Times New Roman"/>
          <w:color w:val="000000" w:themeColor="text1"/>
          <w:shd w:val="clear" w:color="auto" w:fill="FFFFFF"/>
        </w:rPr>
        <w:t>D</w:t>
      </w:r>
      <w:r w:rsidR="008927F5" w:rsidRPr="00C35751">
        <w:rPr>
          <w:rFonts w:eastAsia="Times New Roman"/>
          <w:color w:val="000000" w:themeColor="text1"/>
          <w:shd w:val="clear" w:color="auto" w:fill="FFFFFF"/>
        </w:rPr>
        <w:t>igital signature" means authentication of any electronic record by a subscriber by means of an electronic method or procedure in accordance with the provisions of section 3 of the IT Act 200</w:t>
      </w:r>
      <w:r w:rsidR="001046D7" w:rsidRPr="00C35751">
        <w:rPr>
          <w:rFonts w:eastAsia="Times New Roman"/>
          <w:color w:val="000000" w:themeColor="text1"/>
          <w:shd w:val="clear" w:color="auto" w:fill="FFFFFF"/>
        </w:rPr>
        <w:t>0.</w:t>
      </w:r>
    </w:p>
    <w:p w:rsidR="001046D7" w:rsidRPr="00C35751" w:rsidRDefault="001046D7" w:rsidP="0031584B">
      <w:pPr>
        <w:jc w:val="both"/>
        <w:rPr>
          <w:rFonts w:eastAsia="Times New Roman"/>
          <w:color w:val="000000" w:themeColor="text1"/>
          <w:shd w:val="clear" w:color="auto" w:fill="FFFFFF"/>
        </w:rPr>
      </w:pPr>
    </w:p>
    <w:p w:rsidR="001046D7" w:rsidRPr="00C35751" w:rsidRDefault="001C4C25" w:rsidP="0031584B">
      <w:pPr>
        <w:pStyle w:val="ListParagraph"/>
        <w:numPr>
          <w:ilvl w:val="0"/>
          <w:numId w:val="5"/>
        </w:numPr>
        <w:jc w:val="both"/>
        <w:rPr>
          <w:rFonts w:eastAsia="Times New Roman"/>
          <w:color w:val="000000" w:themeColor="text1"/>
          <w:shd w:val="clear" w:color="auto" w:fill="FFFFFF"/>
        </w:rPr>
      </w:pPr>
      <w:r w:rsidRPr="00C35751">
        <w:rPr>
          <w:rFonts w:eastAsia="Times New Roman"/>
          <w:color w:val="000000" w:themeColor="text1"/>
          <w:shd w:val="clear" w:color="auto" w:fill="FFFFFF"/>
        </w:rPr>
        <w:t>2.</w:t>
      </w:r>
      <w:r w:rsidR="00B64E63" w:rsidRPr="00C35751">
        <w:rPr>
          <w:rFonts w:eastAsia="Times New Roman"/>
          <w:color w:val="000000" w:themeColor="text1"/>
          <w:shd w:val="clear" w:color="auto" w:fill="FFFFFF"/>
        </w:rPr>
        <w:t>cyber security" means protecting information, equipment, devices computer, computer resource, communication device and information stored therein from unauthorised access, use, disclosure, disruption, modification or destruction.</w:t>
      </w:r>
    </w:p>
    <w:p w:rsidR="00CC24C3" w:rsidRPr="00C35751" w:rsidRDefault="00CC24C3" w:rsidP="0031584B">
      <w:pPr>
        <w:jc w:val="both"/>
        <w:rPr>
          <w:rFonts w:eastAsia="Times New Roman"/>
          <w:color w:val="000000" w:themeColor="text1"/>
          <w:shd w:val="clear" w:color="auto" w:fill="FFFFFF"/>
        </w:rPr>
      </w:pPr>
    </w:p>
    <w:p w:rsidR="00132989" w:rsidRPr="00C35751" w:rsidRDefault="001C4C25" w:rsidP="0031584B">
      <w:pPr>
        <w:pStyle w:val="ListParagraph"/>
        <w:numPr>
          <w:ilvl w:val="0"/>
          <w:numId w:val="5"/>
        </w:numPr>
        <w:spacing w:before="100" w:beforeAutospacing="1" w:after="100" w:afterAutospacing="1"/>
        <w:jc w:val="both"/>
        <w:divId w:val="639919123"/>
        <w:rPr>
          <w:color w:val="000000" w:themeColor="text1"/>
          <w:sz w:val="27"/>
          <w:szCs w:val="27"/>
        </w:rPr>
      </w:pPr>
      <w:r w:rsidRPr="00C35751">
        <w:rPr>
          <w:rFonts w:ascii="Arial" w:hAnsi="Arial" w:cs="Arial"/>
          <w:color w:val="000000" w:themeColor="text1"/>
          <w:sz w:val="20"/>
          <w:szCs w:val="20"/>
        </w:rPr>
        <w:t>3.</w:t>
      </w:r>
      <w:r w:rsidR="00132989" w:rsidRPr="00C35751">
        <w:rPr>
          <w:rFonts w:ascii="Arial" w:hAnsi="Arial" w:cs="Arial"/>
          <w:color w:val="000000" w:themeColor="text1"/>
          <w:sz w:val="20"/>
          <w:szCs w:val="20"/>
        </w:rPr>
        <w:t>Hacking with Computer System</w:t>
      </w:r>
      <w:r w:rsidR="00C95675" w:rsidRPr="00C35751">
        <w:rPr>
          <w:rFonts w:ascii="Arial" w:hAnsi="Arial" w:cs="Arial"/>
          <w:color w:val="000000" w:themeColor="text1"/>
          <w:sz w:val="20"/>
          <w:szCs w:val="20"/>
        </w:rPr>
        <w:t xml:space="preserve">: </w:t>
      </w:r>
      <w:r w:rsidR="00132989" w:rsidRPr="00C35751">
        <w:rPr>
          <w:rFonts w:ascii="Arial" w:hAnsi="Arial" w:cs="Arial"/>
          <w:color w:val="000000" w:themeColor="text1"/>
          <w:sz w:val="20"/>
          <w:szCs w:val="20"/>
        </w:rPr>
        <w:t>with the intent of cause or knowing that is likely to cause wrongful loss or damage to the public or any person destroys or deletes or alters any information residing in a computer resource or diminishes its value or utility or affects it injuriously by any means, commits hacking.</w:t>
      </w:r>
    </w:p>
    <w:p w:rsidR="00132989" w:rsidRPr="00C35751" w:rsidRDefault="001C4C25" w:rsidP="0031584B">
      <w:pPr>
        <w:pStyle w:val="ListParagraph"/>
        <w:numPr>
          <w:ilvl w:val="0"/>
          <w:numId w:val="5"/>
        </w:numPr>
        <w:spacing w:before="100" w:beforeAutospacing="1" w:after="100" w:afterAutospacing="1"/>
        <w:jc w:val="both"/>
        <w:divId w:val="639919123"/>
        <w:rPr>
          <w:rFonts w:ascii="Arial" w:hAnsi="Arial" w:cs="Arial"/>
          <w:color w:val="000000" w:themeColor="text1"/>
          <w:sz w:val="20"/>
          <w:szCs w:val="20"/>
        </w:rPr>
      </w:pPr>
      <w:r w:rsidRPr="00C35751">
        <w:rPr>
          <w:color w:val="000000" w:themeColor="text1"/>
          <w:sz w:val="27"/>
          <w:szCs w:val="27"/>
        </w:rPr>
        <w:t>4.</w:t>
      </w:r>
      <w:r w:rsidR="00C95675" w:rsidRPr="00C35751">
        <w:rPr>
          <w:color w:val="000000" w:themeColor="text1"/>
          <w:sz w:val="27"/>
          <w:szCs w:val="27"/>
        </w:rPr>
        <w:t>Punishment</w:t>
      </w:r>
      <w:r w:rsidR="00E54D65" w:rsidRPr="00C35751">
        <w:rPr>
          <w:color w:val="000000" w:themeColor="text1"/>
          <w:sz w:val="27"/>
          <w:szCs w:val="27"/>
        </w:rPr>
        <w:t xml:space="preserve"> for Hacking</w:t>
      </w:r>
      <w:r w:rsidR="00C95675" w:rsidRPr="00C35751">
        <w:rPr>
          <w:color w:val="000000" w:themeColor="text1"/>
          <w:sz w:val="27"/>
          <w:szCs w:val="27"/>
        </w:rPr>
        <w:t xml:space="preserve">: </w:t>
      </w:r>
      <w:r w:rsidR="00132989" w:rsidRPr="00C35751">
        <w:rPr>
          <w:rFonts w:ascii="Arial" w:hAnsi="Arial" w:cs="Arial"/>
          <w:color w:val="000000" w:themeColor="text1"/>
          <w:sz w:val="20"/>
          <w:szCs w:val="20"/>
        </w:rPr>
        <w:t>Whoever commits hacking shall be punished with imprisonment up to three years, or with fine which may extend up to two lakh rupees, or with both.</w:t>
      </w:r>
    </w:p>
    <w:p w:rsidR="001C4C25" w:rsidRPr="00C35751" w:rsidRDefault="001C4C25" w:rsidP="0031584B">
      <w:pPr>
        <w:pStyle w:val="ListParagraph"/>
        <w:numPr>
          <w:ilvl w:val="0"/>
          <w:numId w:val="5"/>
        </w:numPr>
        <w:shd w:val="clear" w:color="auto" w:fill="FFFFFF"/>
        <w:jc w:val="both"/>
        <w:divId w:val="537864126"/>
        <w:rPr>
          <w:rFonts w:ascii="Roboto" w:eastAsia="Times New Roman" w:hAnsi="Roboto"/>
          <w:color w:val="000000" w:themeColor="text1"/>
          <w:sz w:val="21"/>
          <w:szCs w:val="21"/>
        </w:rPr>
      </w:pPr>
      <w:r w:rsidRPr="00C35751">
        <w:rPr>
          <w:rFonts w:ascii="Roboto" w:eastAsia="Times New Roman" w:hAnsi="Roboto"/>
          <w:color w:val="000000" w:themeColor="text1"/>
          <w:sz w:val="21"/>
          <w:szCs w:val="21"/>
        </w:rPr>
        <w:t>5.What are the Offences under the IT Act 2000?</w:t>
      </w:r>
    </w:p>
    <w:p w:rsidR="001C4C25" w:rsidRPr="00C35751" w:rsidRDefault="001C4C25" w:rsidP="0031584B">
      <w:pPr>
        <w:pStyle w:val="ListParagraph"/>
        <w:numPr>
          <w:ilvl w:val="0"/>
          <w:numId w:val="5"/>
        </w:numPr>
        <w:shd w:val="clear" w:color="auto" w:fill="FFFFFF"/>
        <w:spacing w:before="60" w:after="300" w:line="300" w:lineRule="atLeast"/>
        <w:ind w:right="150"/>
        <w:jc w:val="both"/>
        <w:divId w:val="1148284611"/>
        <w:rPr>
          <w:rFonts w:ascii="Roboto" w:eastAsia="Times New Roman" w:hAnsi="Roboto"/>
          <w:color w:val="000000" w:themeColor="text1"/>
          <w:sz w:val="21"/>
          <w:szCs w:val="21"/>
        </w:rPr>
      </w:pPr>
      <w:r w:rsidRPr="00C35751">
        <w:rPr>
          <w:rFonts w:ascii="Roboto" w:eastAsia="Times New Roman" w:hAnsi="Roboto"/>
          <w:color w:val="000000" w:themeColor="text1"/>
          <w:sz w:val="21"/>
          <w:szCs w:val="21"/>
        </w:rPr>
        <w:t>The offences included in the IT Act 2000 are as follows:</w:t>
      </w:r>
    </w:p>
    <w:p w:rsidR="001C4C25" w:rsidRPr="00C35751" w:rsidRDefault="001C4C25" w:rsidP="0031584B">
      <w:pPr>
        <w:pStyle w:val="trt0xe"/>
        <w:numPr>
          <w:ilvl w:val="0"/>
          <w:numId w:val="5"/>
        </w:numPr>
        <w:shd w:val="clear" w:color="auto" w:fill="FFFFFF"/>
        <w:spacing w:before="0" w:beforeAutospacing="0" w:after="180" w:afterAutospacing="0" w:line="300" w:lineRule="atLeast"/>
        <w:jc w:val="both"/>
        <w:divId w:val="1447195374"/>
        <w:rPr>
          <w:rFonts w:ascii="Roboto" w:eastAsia="Times New Roman" w:hAnsi="Roboto"/>
          <w:color w:val="000000" w:themeColor="text1"/>
          <w:sz w:val="21"/>
          <w:szCs w:val="21"/>
        </w:rPr>
      </w:pPr>
      <w:r w:rsidRPr="00C35751">
        <w:rPr>
          <w:rFonts w:ascii="Roboto" w:eastAsia="Times New Roman" w:hAnsi="Roboto"/>
          <w:color w:val="000000" w:themeColor="text1"/>
          <w:sz w:val="21"/>
          <w:szCs w:val="21"/>
        </w:rPr>
        <w:t>Tampering with the computer source documents.</w:t>
      </w:r>
    </w:p>
    <w:p w:rsidR="001C4C25" w:rsidRPr="00C35751" w:rsidRDefault="001C4C25" w:rsidP="0031584B">
      <w:pPr>
        <w:pStyle w:val="trt0xe"/>
        <w:numPr>
          <w:ilvl w:val="0"/>
          <w:numId w:val="5"/>
        </w:numPr>
        <w:shd w:val="clear" w:color="auto" w:fill="FFFFFF"/>
        <w:spacing w:before="0" w:beforeAutospacing="0" w:after="180" w:afterAutospacing="0" w:line="300" w:lineRule="atLeast"/>
        <w:jc w:val="both"/>
        <w:divId w:val="1447195374"/>
        <w:rPr>
          <w:rFonts w:ascii="Roboto" w:eastAsia="Times New Roman" w:hAnsi="Roboto"/>
          <w:color w:val="000000" w:themeColor="text1"/>
          <w:sz w:val="21"/>
          <w:szCs w:val="21"/>
        </w:rPr>
      </w:pPr>
      <w:r w:rsidRPr="00C35751">
        <w:rPr>
          <w:rFonts w:ascii="Roboto" w:eastAsia="Times New Roman" w:hAnsi="Roboto"/>
          <w:color w:val="000000" w:themeColor="text1"/>
          <w:sz w:val="21"/>
          <w:szCs w:val="21"/>
        </w:rPr>
        <w:t>Hacking with computer system.</w:t>
      </w:r>
    </w:p>
    <w:p w:rsidR="001C4C25" w:rsidRPr="00C35751" w:rsidRDefault="001C4C25" w:rsidP="0031584B">
      <w:pPr>
        <w:pStyle w:val="trt0xe"/>
        <w:numPr>
          <w:ilvl w:val="0"/>
          <w:numId w:val="5"/>
        </w:numPr>
        <w:shd w:val="clear" w:color="auto" w:fill="FFFFFF"/>
        <w:spacing w:before="0" w:beforeAutospacing="0" w:after="180" w:afterAutospacing="0" w:line="300" w:lineRule="atLeast"/>
        <w:jc w:val="both"/>
        <w:divId w:val="1447195374"/>
        <w:rPr>
          <w:rFonts w:ascii="Roboto" w:eastAsia="Times New Roman" w:hAnsi="Roboto"/>
          <w:color w:val="000000" w:themeColor="text1"/>
          <w:sz w:val="21"/>
          <w:szCs w:val="21"/>
        </w:rPr>
      </w:pPr>
      <w:r w:rsidRPr="00C35751">
        <w:rPr>
          <w:rFonts w:ascii="Roboto" w:eastAsia="Times New Roman" w:hAnsi="Roboto"/>
          <w:color w:val="000000" w:themeColor="text1"/>
          <w:sz w:val="21"/>
          <w:szCs w:val="21"/>
        </w:rPr>
        <w:t>Publishing of information which is obscene in electronic form.</w:t>
      </w:r>
    </w:p>
    <w:p w:rsidR="001C4C25" w:rsidRPr="00C35751" w:rsidRDefault="001C4C25" w:rsidP="0031584B">
      <w:pPr>
        <w:pStyle w:val="trt0xe"/>
        <w:numPr>
          <w:ilvl w:val="0"/>
          <w:numId w:val="5"/>
        </w:numPr>
        <w:shd w:val="clear" w:color="auto" w:fill="FFFFFF"/>
        <w:spacing w:before="0" w:beforeAutospacing="0" w:after="180" w:afterAutospacing="0" w:line="300" w:lineRule="atLeast"/>
        <w:jc w:val="both"/>
        <w:divId w:val="1447195374"/>
        <w:rPr>
          <w:rFonts w:ascii="Roboto" w:eastAsia="Times New Roman" w:hAnsi="Roboto"/>
          <w:color w:val="000000" w:themeColor="text1"/>
          <w:sz w:val="21"/>
          <w:szCs w:val="21"/>
        </w:rPr>
      </w:pPr>
      <w:r w:rsidRPr="00C35751">
        <w:rPr>
          <w:rFonts w:ascii="Roboto" w:eastAsia="Times New Roman" w:hAnsi="Roboto"/>
          <w:color w:val="000000" w:themeColor="text1"/>
          <w:sz w:val="21"/>
          <w:szCs w:val="21"/>
        </w:rPr>
        <w:t>Power of Controller to give directions.</w:t>
      </w:r>
    </w:p>
    <w:p w:rsidR="001C4C25" w:rsidRPr="00C35751" w:rsidRDefault="001C4C25" w:rsidP="0031584B">
      <w:pPr>
        <w:pStyle w:val="trt0xe"/>
        <w:numPr>
          <w:ilvl w:val="0"/>
          <w:numId w:val="5"/>
        </w:numPr>
        <w:shd w:val="clear" w:color="auto" w:fill="FFFFFF"/>
        <w:spacing w:before="0" w:beforeAutospacing="0" w:after="180" w:afterAutospacing="0" w:line="300" w:lineRule="atLeast"/>
        <w:jc w:val="both"/>
        <w:divId w:val="1447195374"/>
        <w:rPr>
          <w:rFonts w:ascii="Roboto" w:eastAsia="Times New Roman" w:hAnsi="Roboto"/>
          <w:color w:val="000000" w:themeColor="text1"/>
          <w:sz w:val="21"/>
          <w:szCs w:val="21"/>
        </w:rPr>
      </w:pPr>
      <w:r w:rsidRPr="00C35751">
        <w:rPr>
          <w:rFonts w:ascii="Roboto" w:eastAsia="Times New Roman" w:hAnsi="Roboto"/>
          <w:color w:val="000000" w:themeColor="text1"/>
          <w:sz w:val="21"/>
          <w:szCs w:val="21"/>
        </w:rPr>
        <w:t>Directions of Controller to a subscriber to extend facilities to decrypt information.</w:t>
      </w:r>
    </w:p>
    <w:p w:rsidR="00607FD7" w:rsidRPr="00C35751" w:rsidRDefault="00FD4D8B" w:rsidP="0031584B">
      <w:pPr>
        <w:pStyle w:val="Heading2"/>
        <w:numPr>
          <w:ilvl w:val="0"/>
          <w:numId w:val="5"/>
        </w:numPr>
        <w:shd w:val="clear" w:color="auto" w:fill="FFFFFF"/>
        <w:spacing w:after="300"/>
        <w:jc w:val="both"/>
        <w:divId w:val="610668449"/>
        <w:rPr>
          <w:rFonts w:ascii="Arial" w:eastAsia="Times New Roman" w:hAnsi="Arial" w:cs="Arial"/>
          <w:color w:val="000000" w:themeColor="text1"/>
          <w:spacing w:val="-3"/>
          <w:sz w:val="39"/>
          <w:szCs w:val="39"/>
        </w:rPr>
      </w:pPr>
      <w:r w:rsidRPr="00C35751">
        <w:rPr>
          <w:rFonts w:eastAsia="Times New Roman"/>
          <w:color w:val="000000" w:themeColor="text1"/>
          <w:shd w:val="clear" w:color="auto" w:fill="FFFFFF"/>
        </w:rPr>
        <w:t>6.</w:t>
      </w:r>
      <w:r w:rsidR="00607FD7" w:rsidRPr="00C35751">
        <w:rPr>
          <w:rFonts w:ascii="Arial" w:eastAsia="Times New Roman" w:hAnsi="Arial" w:cs="Arial"/>
          <w:color w:val="000000" w:themeColor="text1"/>
          <w:spacing w:val="-3"/>
          <w:sz w:val="39"/>
          <w:szCs w:val="39"/>
        </w:rPr>
        <w:t xml:space="preserve"> Features of the Information Technology Act, 2000</w:t>
      </w:r>
    </w:p>
    <w:p w:rsidR="00607FD7" w:rsidRPr="00C35751" w:rsidRDefault="00607FD7" w:rsidP="0031584B">
      <w:pPr>
        <w:numPr>
          <w:ilvl w:val="0"/>
          <w:numId w:val="5"/>
        </w:numPr>
        <w:shd w:val="clear" w:color="auto" w:fill="FFFFFF"/>
        <w:spacing w:before="100" w:beforeAutospacing="1" w:after="210" w:line="240" w:lineRule="auto"/>
        <w:jc w:val="both"/>
        <w:divId w:val="610668449"/>
        <w:rPr>
          <w:rFonts w:ascii="Times New Roman" w:eastAsia="Times New Roman" w:hAnsi="Times New Roman" w:cs="Times New Roman"/>
          <w:color w:val="000000" w:themeColor="text1"/>
          <w:spacing w:val="-1"/>
          <w:sz w:val="27"/>
          <w:szCs w:val="27"/>
        </w:rPr>
      </w:pPr>
      <w:r w:rsidRPr="00C35751">
        <w:rPr>
          <w:rFonts w:eastAsia="Times New Roman"/>
          <w:color w:val="000000" w:themeColor="text1"/>
          <w:spacing w:val="-1"/>
          <w:sz w:val="27"/>
          <w:szCs w:val="27"/>
        </w:rPr>
        <w:t>All electronic contracts made through secure electronic channels are legally valid.</w:t>
      </w:r>
    </w:p>
    <w:p w:rsidR="00607FD7" w:rsidRPr="00C35751" w:rsidRDefault="00607FD7" w:rsidP="0031584B">
      <w:pPr>
        <w:numPr>
          <w:ilvl w:val="0"/>
          <w:numId w:val="5"/>
        </w:numPr>
        <w:shd w:val="clear" w:color="auto" w:fill="FFFFFF"/>
        <w:spacing w:before="100" w:beforeAutospacing="1" w:after="210" w:line="240" w:lineRule="auto"/>
        <w:jc w:val="both"/>
        <w:divId w:val="610668449"/>
        <w:rPr>
          <w:rFonts w:eastAsia="Times New Roman"/>
          <w:color w:val="000000" w:themeColor="text1"/>
          <w:spacing w:val="-1"/>
          <w:sz w:val="27"/>
          <w:szCs w:val="27"/>
        </w:rPr>
      </w:pPr>
      <w:r w:rsidRPr="00C35751">
        <w:rPr>
          <w:rFonts w:eastAsia="Times New Roman"/>
          <w:color w:val="000000" w:themeColor="text1"/>
          <w:spacing w:val="-1"/>
          <w:sz w:val="27"/>
          <w:szCs w:val="27"/>
        </w:rPr>
        <w:t>Legal recognition for digital signatures.</w:t>
      </w:r>
    </w:p>
    <w:p w:rsidR="00607FD7" w:rsidRPr="00C35751" w:rsidRDefault="00607FD7" w:rsidP="0031584B">
      <w:pPr>
        <w:numPr>
          <w:ilvl w:val="0"/>
          <w:numId w:val="5"/>
        </w:numPr>
        <w:shd w:val="clear" w:color="auto" w:fill="FFFFFF"/>
        <w:spacing w:before="100" w:beforeAutospacing="1" w:after="210" w:line="240" w:lineRule="auto"/>
        <w:jc w:val="both"/>
        <w:divId w:val="610668449"/>
        <w:rPr>
          <w:rFonts w:eastAsia="Times New Roman"/>
          <w:color w:val="000000" w:themeColor="text1"/>
          <w:spacing w:val="-1"/>
          <w:sz w:val="27"/>
          <w:szCs w:val="27"/>
        </w:rPr>
      </w:pPr>
      <w:r w:rsidRPr="00C35751">
        <w:rPr>
          <w:rFonts w:eastAsia="Times New Roman"/>
          <w:color w:val="000000" w:themeColor="text1"/>
          <w:spacing w:val="-1"/>
          <w:sz w:val="27"/>
          <w:szCs w:val="27"/>
        </w:rPr>
        <w:t>Security measures for electronic records and also digital signatures are in place</w:t>
      </w:r>
    </w:p>
    <w:p w:rsidR="00607FD7" w:rsidRPr="00C35751" w:rsidRDefault="00607FD7" w:rsidP="0031584B">
      <w:pPr>
        <w:numPr>
          <w:ilvl w:val="0"/>
          <w:numId w:val="5"/>
        </w:numPr>
        <w:shd w:val="clear" w:color="auto" w:fill="FFFFFF"/>
        <w:spacing w:before="100" w:beforeAutospacing="1" w:after="210" w:line="240" w:lineRule="auto"/>
        <w:jc w:val="both"/>
        <w:divId w:val="610668449"/>
        <w:rPr>
          <w:rFonts w:eastAsia="Times New Roman"/>
          <w:color w:val="000000" w:themeColor="text1"/>
          <w:spacing w:val="-1"/>
          <w:sz w:val="27"/>
          <w:szCs w:val="27"/>
        </w:rPr>
      </w:pPr>
      <w:r w:rsidRPr="00C35751">
        <w:rPr>
          <w:rFonts w:eastAsia="Times New Roman"/>
          <w:color w:val="000000" w:themeColor="text1"/>
          <w:spacing w:val="-1"/>
          <w:sz w:val="27"/>
          <w:szCs w:val="27"/>
        </w:rPr>
        <w:t>A procedure for the appointment of adjudicating officers for holding inquiries under the Act is finalized</w:t>
      </w:r>
    </w:p>
    <w:p w:rsidR="00607FD7" w:rsidRPr="00C35751" w:rsidRDefault="00607FD7" w:rsidP="0031584B">
      <w:pPr>
        <w:numPr>
          <w:ilvl w:val="0"/>
          <w:numId w:val="5"/>
        </w:numPr>
        <w:shd w:val="clear" w:color="auto" w:fill="FFFFFF"/>
        <w:spacing w:before="100" w:beforeAutospacing="1" w:after="210" w:line="240" w:lineRule="auto"/>
        <w:jc w:val="both"/>
        <w:divId w:val="610668449"/>
        <w:rPr>
          <w:rFonts w:eastAsia="Times New Roman"/>
          <w:color w:val="000000" w:themeColor="text1"/>
          <w:spacing w:val="-1"/>
          <w:sz w:val="27"/>
          <w:szCs w:val="27"/>
        </w:rPr>
      </w:pPr>
      <w:r w:rsidRPr="00C35751">
        <w:rPr>
          <w:rFonts w:eastAsia="Times New Roman"/>
          <w:color w:val="000000" w:themeColor="text1"/>
          <w:spacing w:val="-1"/>
          <w:sz w:val="27"/>
          <w:szCs w:val="27"/>
        </w:rPr>
        <w:lastRenderedPageBreak/>
        <w:t>Provision for establishing a Cyber Regulatory Appellant Tribunal under the Act. Further, this tribunal will handle all appeals made against the order of the Controller or Adjudicating Officer.</w:t>
      </w:r>
    </w:p>
    <w:p w:rsidR="00607FD7" w:rsidRPr="00C35751" w:rsidRDefault="00607FD7" w:rsidP="0031584B">
      <w:pPr>
        <w:numPr>
          <w:ilvl w:val="0"/>
          <w:numId w:val="5"/>
        </w:numPr>
        <w:shd w:val="clear" w:color="auto" w:fill="FFFFFF"/>
        <w:spacing w:before="100" w:beforeAutospacing="1" w:after="210" w:line="240" w:lineRule="auto"/>
        <w:jc w:val="both"/>
        <w:divId w:val="610668449"/>
        <w:rPr>
          <w:rFonts w:eastAsia="Times New Roman"/>
          <w:color w:val="000000" w:themeColor="text1"/>
          <w:spacing w:val="-1"/>
          <w:sz w:val="27"/>
          <w:szCs w:val="27"/>
        </w:rPr>
      </w:pPr>
      <w:r w:rsidRPr="00C35751">
        <w:rPr>
          <w:rFonts w:eastAsia="Times New Roman"/>
          <w:color w:val="000000" w:themeColor="text1"/>
          <w:spacing w:val="-1"/>
          <w:sz w:val="27"/>
          <w:szCs w:val="27"/>
        </w:rPr>
        <w:t>An appeal against the order of the Cyber Appellant Tribunal is possible only in the High Court</w:t>
      </w:r>
    </w:p>
    <w:p w:rsidR="00607FD7" w:rsidRPr="00C35751" w:rsidRDefault="00002A19" w:rsidP="0031584B">
      <w:pPr>
        <w:numPr>
          <w:ilvl w:val="0"/>
          <w:numId w:val="5"/>
        </w:numPr>
        <w:shd w:val="clear" w:color="auto" w:fill="FFFFFF"/>
        <w:spacing w:before="100" w:beforeAutospacing="1" w:after="210" w:line="240" w:lineRule="auto"/>
        <w:jc w:val="both"/>
        <w:divId w:val="610668449"/>
        <w:rPr>
          <w:rFonts w:eastAsia="Times New Roman"/>
          <w:color w:val="000000" w:themeColor="text1"/>
          <w:spacing w:val="-1"/>
          <w:sz w:val="27"/>
          <w:szCs w:val="27"/>
        </w:rPr>
      </w:pPr>
      <w:hyperlink r:id="rId5" w:history="1">
        <w:r w:rsidR="00607FD7" w:rsidRPr="00C35751">
          <w:rPr>
            <w:rStyle w:val="Hyperlink"/>
            <w:rFonts w:eastAsia="Times New Roman"/>
            <w:color w:val="000000" w:themeColor="text1"/>
            <w:spacing w:val="-1"/>
            <w:sz w:val="27"/>
            <w:szCs w:val="27"/>
            <w:u w:val="none"/>
            <w:bdr w:val="none" w:sz="0" w:space="0" w:color="auto" w:frame="1"/>
          </w:rPr>
          <w:t>Digital Signatures</w:t>
        </w:r>
      </w:hyperlink>
      <w:r w:rsidR="00607FD7" w:rsidRPr="00C35751">
        <w:rPr>
          <w:rFonts w:eastAsia="Times New Roman"/>
          <w:color w:val="000000" w:themeColor="text1"/>
          <w:spacing w:val="-1"/>
          <w:sz w:val="27"/>
          <w:szCs w:val="27"/>
        </w:rPr>
        <w:t> will use an asymmetric cryptosystem and also a hash function</w:t>
      </w:r>
    </w:p>
    <w:p w:rsidR="00607FD7" w:rsidRPr="00C35751" w:rsidRDefault="00607FD7" w:rsidP="0031584B">
      <w:pPr>
        <w:numPr>
          <w:ilvl w:val="0"/>
          <w:numId w:val="5"/>
        </w:numPr>
        <w:shd w:val="clear" w:color="auto" w:fill="FFFFFF"/>
        <w:spacing w:before="100" w:beforeAutospacing="1" w:after="210" w:line="240" w:lineRule="auto"/>
        <w:jc w:val="both"/>
        <w:divId w:val="610668449"/>
        <w:rPr>
          <w:rFonts w:eastAsia="Times New Roman"/>
          <w:color w:val="000000" w:themeColor="text1"/>
          <w:spacing w:val="-1"/>
          <w:sz w:val="27"/>
          <w:szCs w:val="27"/>
        </w:rPr>
      </w:pPr>
      <w:r w:rsidRPr="00C35751">
        <w:rPr>
          <w:rFonts w:eastAsia="Times New Roman"/>
          <w:color w:val="000000" w:themeColor="text1"/>
          <w:spacing w:val="-1"/>
          <w:sz w:val="27"/>
          <w:szCs w:val="27"/>
        </w:rPr>
        <w:t>Provision for the appointment of the Controller of Certifying Authorities (CCA) to license and regulate the working of Certifying Authorities. The Controller to act as a repository of all digital signatures.</w:t>
      </w:r>
    </w:p>
    <w:p w:rsidR="00607FD7" w:rsidRPr="00C35751" w:rsidRDefault="00607FD7" w:rsidP="0031584B">
      <w:pPr>
        <w:numPr>
          <w:ilvl w:val="0"/>
          <w:numId w:val="5"/>
        </w:numPr>
        <w:shd w:val="clear" w:color="auto" w:fill="FFFFFF"/>
        <w:spacing w:before="100" w:beforeAutospacing="1" w:after="210" w:line="240" w:lineRule="auto"/>
        <w:jc w:val="both"/>
        <w:divId w:val="610668449"/>
        <w:rPr>
          <w:rFonts w:eastAsia="Times New Roman"/>
          <w:color w:val="000000" w:themeColor="text1"/>
          <w:spacing w:val="-1"/>
          <w:sz w:val="27"/>
          <w:szCs w:val="27"/>
        </w:rPr>
      </w:pPr>
      <w:r w:rsidRPr="00C35751">
        <w:rPr>
          <w:rFonts w:eastAsia="Times New Roman"/>
          <w:color w:val="000000" w:themeColor="text1"/>
          <w:spacing w:val="-1"/>
          <w:sz w:val="27"/>
          <w:szCs w:val="27"/>
        </w:rPr>
        <w:t>The Act applies to offences or contraventions committed outside India</w:t>
      </w:r>
    </w:p>
    <w:p w:rsidR="00607FD7" w:rsidRPr="00C35751" w:rsidRDefault="00607FD7" w:rsidP="0031584B">
      <w:pPr>
        <w:numPr>
          <w:ilvl w:val="0"/>
          <w:numId w:val="5"/>
        </w:numPr>
        <w:shd w:val="clear" w:color="auto" w:fill="FFFFFF"/>
        <w:spacing w:before="100" w:beforeAutospacing="1" w:after="210" w:line="240" w:lineRule="auto"/>
        <w:jc w:val="both"/>
        <w:divId w:val="610668449"/>
        <w:rPr>
          <w:rFonts w:eastAsia="Times New Roman"/>
          <w:color w:val="000000" w:themeColor="text1"/>
          <w:spacing w:val="-1"/>
          <w:sz w:val="27"/>
          <w:szCs w:val="27"/>
        </w:rPr>
      </w:pPr>
      <w:r w:rsidRPr="00C35751">
        <w:rPr>
          <w:rFonts w:eastAsia="Times New Roman"/>
          <w:color w:val="000000" w:themeColor="text1"/>
          <w:spacing w:val="-1"/>
          <w:sz w:val="27"/>
          <w:szCs w:val="27"/>
        </w:rPr>
        <w:t>Senior police officers and other officers can enter any public place and search and arrest without warrant</w:t>
      </w:r>
    </w:p>
    <w:p w:rsidR="00607FD7" w:rsidRPr="00C35751" w:rsidRDefault="00607FD7" w:rsidP="0031584B">
      <w:pPr>
        <w:numPr>
          <w:ilvl w:val="0"/>
          <w:numId w:val="5"/>
        </w:numPr>
        <w:shd w:val="clear" w:color="auto" w:fill="FFFFFF"/>
        <w:spacing w:before="100" w:beforeAutospacing="1" w:after="0" w:line="240" w:lineRule="auto"/>
        <w:jc w:val="both"/>
        <w:divId w:val="610668449"/>
        <w:rPr>
          <w:rFonts w:eastAsia="Times New Roman"/>
          <w:color w:val="000000" w:themeColor="text1"/>
          <w:spacing w:val="-1"/>
          <w:sz w:val="27"/>
          <w:szCs w:val="27"/>
        </w:rPr>
      </w:pPr>
      <w:r w:rsidRPr="00C35751">
        <w:rPr>
          <w:rFonts w:eastAsia="Times New Roman"/>
          <w:color w:val="000000" w:themeColor="text1"/>
          <w:spacing w:val="-1"/>
          <w:sz w:val="27"/>
          <w:szCs w:val="27"/>
        </w:rPr>
        <w:t>Provisions for the constitution of a Cyber Regulations Advisory Committee to advise the Central Government and Controller.</w:t>
      </w:r>
    </w:p>
    <w:p w:rsidR="00CC24C3" w:rsidRPr="00C35751" w:rsidRDefault="00CC24C3" w:rsidP="0031584B">
      <w:pPr>
        <w:jc w:val="both"/>
        <w:rPr>
          <w:rFonts w:eastAsia="Times New Roman"/>
          <w:color w:val="000000" w:themeColor="text1"/>
          <w:shd w:val="clear" w:color="auto" w:fill="FFFFFF"/>
        </w:rPr>
      </w:pPr>
    </w:p>
    <w:p w:rsidR="009A501F" w:rsidRPr="00C35751" w:rsidRDefault="0023544F" w:rsidP="0031584B">
      <w:pPr>
        <w:pStyle w:val="NormalWeb"/>
        <w:numPr>
          <w:ilvl w:val="0"/>
          <w:numId w:val="5"/>
        </w:numPr>
        <w:shd w:val="clear" w:color="auto" w:fill="FFFFFF"/>
        <w:spacing w:before="150" w:beforeAutospacing="0" w:after="450" w:afterAutospacing="0"/>
        <w:jc w:val="both"/>
        <w:divId w:val="750078492"/>
        <w:rPr>
          <w:color w:val="000000" w:themeColor="text1"/>
          <w:spacing w:val="-1"/>
          <w:sz w:val="27"/>
          <w:szCs w:val="27"/>
        </w:rPr>
      </w:pPr>
      <w:r w:rsidRPr="00C35751">
        <w:rPr>
          <w:rFonts w:eastAsia="Times New Roman"/>
          <w:color w:val="000000" w:themeColor="text1"/>
          <w:shd w:val="clear" w:color="auto" w:fill="FFFFFF"/>
        </w:rPr>
        <w:t>7.</w:t>
      </w:r>
      <w:r w:rsidR="009A501F" w:rsidRPr="00C35751">
        <w:rPr>
          <w:color w:val="000000" w:themeColor="text1"/>
          <w:spacing w:val="-1"/>
          <w:sz w:val="27"/>
          <w:szCs w:val="27"/>
        </w:rPr>
        <w:t xml:space="preserve"> What are the objectives of the Information Technology Act, 2000?</w:t>
      </w:r>
    </w:p>
    <w:p w:rsidR="009A501F" w:rsidRPr="00C35751" w:rsidRDefault="009A501F" w:rsidP="0031584B">
      <w:pPr>
        <w:pStyle w:val="NormalWeb"/>
        <w:numPr>
          <w:ilvl w:val="0"/>
          <w:numId w:val="5"/>
        </w:numPr>
        <w:shd w:val="clear" w:color="auto" w:fill="FFFFFF"/>
        <w:spacing w:before="150" w:beforeAutospacing="0" w:after="450" w:afterAutospacing="0"/>
        <w:jc w:val="both"/>
        <w:divId w:val="750078492"/>
        <w:rPr>
          <w:color w:val="000000" w:themeColor="text1"/>
          <w:spacing w:val="-1"/>
          <w:sz w:val="27"/>
          <w:szCs w:val="27"/>
        </w:rPr>
      </w:pPr>
      <w:r w:rsidRPr="00C35751">
        <w:rPr>
          <w:color w:val="000000" w:themeColor="text1"/>
          <w:spacing w:val="-1"/>
          <w:sz w:val="27"/>
          <w:szCs w:val="27"/>
        </w:rPr>
        <w:t>Answer:</w:t>
      </w:r>
    </w:p>
    <w:p w:rsidR="009A501F" w:rsidRPr="00C35751" w:rsidRDefault="009A501F" w:rsidP="0031584B">
      <w:pPr>
        <w:pStyle w:val="NormalWeb"/>
        <w:numPr>
          <w:ilvl w:val="0"/>
          <w:numId w:val="5"/>
        </w:numPr>
        <w:shd w:val="clear" w:color="auto" w:fill="FFFFFF"/>
        <w:spacing w:before="150" w:beforeAutospacing="0" w:after="450" w:afterAutospacing="0"/>
        <w:jc w:val="both"/>
        <w:divId w:val="750078492"/>
        <w:rPr>
          <w:color w:val="000000" w:themeColor="text1"/>
          <w:spacing w:val="-1"/>
          <w:sz w:val="27"/>
          <w:szCs w:val="27"/>
        </w:rPr>
      </w:pPr>
      <w:r w:rsidRPr="00C35751">
        <w:rPr>
          <w:color w:val="000000" w:themeColor="text1"/>
          <w:spacing w:val="-1"/>
          <w:sz w:val="27"/>
          <w:szCs w:val="27"/>
        </w:rPr>
        <w:t>The primary objectives of the IT Act, 2000 are:</w:t>
      </w:r>
    </w:p>
    <w:p w:rsidR="009A501F" w:rsidRPr="00C35751" w:rsidRDefault="009A501F" w:rsidP="0031584B">
      <w:pPr>
        <w:numPr>
          <w:ilvl w:val="0"/>
          <w:numId w:val="5"/>
        </w:numPr>
        <w:shd w:val="clear" w:color="auto" w:fill="FFFFFF"/>
        <w:spacing w:before="100" w:beforeAutospacing="1" w:after="210" w:line="240" w:lineRule="auto"/>
        <w:jc w:val="both"/>
        <w:divId w:val="750078492"/>
        <w:rPr>
          <w:rFonts w:eastAsia="Times New Roman"/>
          <w:color w:val="000000" w:themeColor="text1"/>
          <w:spacing w:val="-1"/>
          <w:sz w:val="27"/>
          <w:szCs w:val="27"/>
        </w:rPr>
      </w:pPr>
      <w:r w:rsidRPr="00C35751">
        <w:rPr>
          <w:rFonts w:eastAsia="Times New Roman"/>
          <w:color w:val="000000" w:themeColor="text1"/>
          <w:spacing w:val="-1"/>
          <w:sz w:val="27"/>
          <w:szCs w:val="27"/>
        </w:rPr>
        <w:t>Granting legal recognition to all transactions done through electronic data exchange, other means of electronic communication or e-commerce in place of the earlier paper-based communication.</w:t>
      </w:r>
    </w:p>
    <w:p w:rsidR="009A501F" w:rsidRPr="00C35751" w:rsidRDefault="009A501F" w:rsidP="0031584B">
      <w:pPr>
        <w:numPr>
          <w:ilvl w:val="0"/>
          <w:numId w:val="5"/>
        </w:numPr>
        <w:shd w:val="clear" w:color="auto" w:fill="FFFFFF"/>
        <w:spacing w:before="100" w:beforeAutospacing="1" w:after="210" w:line="240" w:lineRule="auto"/>
        <w:jc w:val="both"/>
        <w:divId w:val="750078492"/>
        <w:rPr>
          <w:rFonts w:eastAsia="Times New Roman"/>
          <w:color w:val="000000" w:themeColor="text1"/>
          <w:spacing w:val="-1"/>
          <w:sz w:val="27"/>
          <w:szCs w:val="27"/>
        </w:rPr>
      </w:pPr>
      <w:r w:rsidRPr="00C35751">
        <w:rPr>
          <w:rFonts w:eastAsia="Times New Roman"/>
          <w:color w:val="000000" w:themeColor="text1"/>
          <w:spacing w:val="-1"/>
          <w:sz w:val="27"/>
          <w:szCs w:val="27"/>
        </w:rPr>
        <w:t>Providing legal recognition to digital signatures for the authentication of any information or matters requiring authentication.</w:t>
      </w:r>
    </w:p>
    <w:p w:rsidR="009A501F" w:rsidRPr="00C35751" w:rsidRDefault="009A501F" w:rsidP="0031584B">
      <w:pPr>
        <w:numPr>
          <w:ilvl w:val="0"/>
          <w:numId w:val="5"/>
        </w:numPr>
        <w:shd w:val="clear" w:color="auto" w:fill="FFFFFF"/>
        <w:spacing w:before="100" w:beforeAutospacing="1" w:after="210" w:line="240" w:lineRule="auto"/>
        <w:jc w:val="both"/>
        <w:divId w:val="750078492"/>
        <w:rPr>
          <w:rFonts w:eastAsia="Times New Roman"/>
          <w:color w:val="000000" w:themeColor="text1"/>
          <w:spacing w:val="-1"/>
          <w:sz w:val="27"/>
          <w:szCs w:val="27"/>
        </w:rPr>
      </w:pPr>
      <w:r w:rsidRPr="00C35751">
        <w:rPr>
          <w:rFonts w:eastAsia="Times New Roman"/>
          <w:color w:val="000000" w:themeColor="text1"/>
          <w:spacing w:val="-1"/>
          <w:sz w:val="27"/>
          <w:szCs w:val="27"/>
        </w:rPr>
        <w:t>Facilitating the electronic filing of documents with different Government departments and also agencies.</w:t>
      </w:r>
    </w:p>
    <w:p w:rsidR="009A501F" w:rsidRPr="00C35751" w:rsidRDefault="009A501F" w:rsidP="0031584B">
      <w:pPr>
        <w:numPr>
          <w:ilvl w:val="0"/>
          <w:numId w:val="5"/>
        </w:numPr>
        <w:shd w:val="clear" w:color="auto" w:fill="FFFFFF"/>
        <w:spacing w:before="100" w:beforeAutospacing="1" w:after="210" w:line="240" w:lineRule="auto"/>
        <w:jc w:val="both"/>
        <w:divId w:val="750078492"/>
        <w:rPr>
          <w:rFonts w:eastAsia="Times New Roman"/>
          <w:color w:val="000000" w:themeColor="text1"/>
          <w:spacing w:val="-1"/>
          <w:sz w:val="27"/>
          <w:szCs w:val="27"/>
        </w:rPr>
      </w:pPr>
      <w:r w:rsidRPr="00C35751">
        <w:rPr>
          <w:rFonts w:eastAsia="Times New Roman"/>
          <w:color w:val="000000" w:themeColor="text1"/>
          <w:spacing w:val="-1"/>
          <w:sz w:val="27"/>
          <w:szCs w:val="27"/>
        </w:rPr>
        <w:t>Facilitating the electronic storage of data</w:t>
      </w:r>
    </w:p>
    <w:p w:rsidR="009A501F" w:rsidRPr="00C35751" w:rsidRDefault="009A501F" w:rsidP="0031584B">
      <w:pPr>
        <w:numPr>
          <w:ilvl w:val="0"/>
          <w:numId w:val="5"/>
        </w:numPr>
        <w:shd w:val="clear" w:color="auto" w:fill="FFFFFF"/>
        <w:spacing w:before="100" w:beforeAutospacing="1" w:after="210" w:line="240" w:lineRule="auto"/>
        <w:jc w:val="both"/>
        <w:divId w:val="750078492"/>
        <w:rPr>
          <w:rFonts w:eastAsia="Times New Roman"/>
          <w:color w:val="000000" w:themeColor="text1"/>
          <w:spacing w:val="-1"/>
          <w:sz w:val="27"/>
          <w:szCs w:val="27"/>
        </w:rPr>
      </w:pPr>
      <w:r w:rsidRPr="00C35751">
        <w:rPr>
          <w:rFonts w:eastAsia="Times New Roman"/>
          <w:color w:val="000000" w:themeColor="text1"/>
          <w:spacing w:val="-1"/>
          <w:sz w:val="27"/>
          <w:szCs w:val="27"/>
        </w:rPr>
        <w:lastRenderedPageBreak/>
        <w:t>Providing legal sanction and also facilitating the electronic transfer of funds between banks and financial institutions.</w:t>
      </w:r>
    </w:p>
    <w:p w:rsidR="009A501F" w:rsidRPr="00C35751" w:rsidRDefault="009A501F" w:rsidP="0031584B">
      <w:pPr>
        <w:numPr>
          <w:ilvl w:val="0"/>
          <w:numId w:val="5"/>
        </w:numPr>
        <w:shd w:val="clear" w:color="auto" w:fill="FFFFFF"/>
        <w:spacing w:before="100" w:beforeAutospacing="1" w:after="0" w:line="240" w:lineRule="auto"/>
        <w:jc w:val="both"/>
        <w:divId w:val="750078492"/>
        <w:rPr>
          <w:rFonts w:eastAsia="Times New Roman"/>
          <w:color w:val="000000" w:themeColor="text1"/>
          <w:spacing w:val="-1"/>
          <w:sz w:val="27"/>
          <w:szCs w:val="27"/>
        </w:rPr>
      </w:pPr>
      <w:r w:rsidRPr="00C35751">
        <w:rPr>
          <w:rFonts w:eastAsia="Times New Roman"/>
          <w:color w:val="000000" w:themeColor="text1"/>
          <w:spacing w:val="-1"/>
          <w:sz w:val="27"/>
          <w:szCs w:val="27"/>
        </w:rPr>
        <w:t>Granting legal recognition to bankers for keeping the books of accounts in an electronic form. Further, this is granted under the Evidence Act, 1891 and the </w:t>
      </w:r>
      <w:hyperlink r:id="rId6" w:history="1">
        <w:r w:rsidRPr="00C35751">
          <w:rPr>
            <w:rStyle w:val="Hyperlink"/>
            <w:rFonts w:eastAsia="Times New Roman"/>
            <w:color w:val="000000" w:themeColor="text1"/>
            <w:spacing w:val="-1"/>
            <w:sz w:val="27"/>
            <w:szCs w:val="27"/>
            <w:u w:val="none"/>
            <w:bdr w:val="none" w:sz="0" w:space="0" w:color="auto" w:frame="1"/>
          </w:rPr>
          <w:t>Reserve Bank of India Act, 1934</w:t>
        </w:r>
      </w:hyperlink>
      <w:r w:rsidRPr="00C35751">
        <w:rPr>
          <w:rFonts w:eastAsia="Times New Roman"/>
          <w:color w:val="000000" w:themeColor="text1"/>
          <w:spacing w:val="-1"/>
          <w:sz w:val="27"/>
          <w:szCs w:val="27"/>
        </w:rPr>
        <w:t>.</w:t>
      </w:r>
    </w:p>
    <w:p w:rsidR="0023544F" w:rsidRPr="00C35751" w:rsidRDefault="0023544F" w:rsidP="0031584B">
      <w:pPr>
        <w:jc w:val="both"/>
        <w:rPr>
          <w:rFonts w:eastAsia="Times New Roman"/>
          <w:color w:val="000000" w:themeColor="text1"/>
          <w:shd w:val="clear" w:color="auto" w:fill="FFFFFF"/>
        </w:rPr>
      </w:pPr>
    </w:p>
    <w:sectPr w:rsidR="0023544F" w:rsidRPr="00C357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6E3"/>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434D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11271"/>
    <w:multiLevelType w:val="hybridMultilevel"/>
    <w:tmpl w:val="3F28329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651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2532A"/>
    <w:multiLevelType w:val="hybridMultilevel"/>
    <w:tmpl w:val="83E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F5"/>
    <w:rsid w:val="00002A19"/>
    <w:rsid w:val="0003766A"/>
    <w:rsid w:val="001046D7"/>
    <w:rsid w:val="00132989"/>
    <w:rsid w:val="001C4C25"/>
    <w:rsid w:val="0023544F"/>
    <w:rsid w:val="0030217F"/>
    <w:rsid w:val="0031584B"/>
    <w:rsid w:val="00607FD7"/>
    <w:rsid w:val="008927F5"/>
    <w:rsid w:val="008D3B82"/>
    <w:rsid w:val="00910FE3"/>
    <w:rsid w:val="009A19FC"/>
    <w:rsid w:val="009A501F"/>
    <w:rsid w:val="00B64E63"/>
    <w:rsid w:val="00C35751"/>
    <w:rsid w:val="00C95675"/>
    <w:rsid w:val="00CC24C3"/>
    <w:rsid w:val="00D235F8"/>
    <w:rsid w:val="00E10B5D"/>
    <w:rsid w:val="00E54D65"/>
    <w:rsid w:val="00FD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25BE59"/>
  <w15:chartTrackingRefBased/>
  <w15:docId w15:val="{EE810152-D884-6042-A95D-02817C89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7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65"/>
    <w:pPr>
      <w:ind w:left="720"/>
      <w:contextualSpacing/>
    </w:pPr>
  </w:style>
  <w:style w:type="paragraph" w:customStyle="1" w:styleId="trt0xe">
    <w:name w:val="trt0xe"/>
    <w:basedOn w:val="Normal"/>
    <w:rsid w:val="001C4C25"/>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607FD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07FD7"/>
    <w:rPr>
      <w:color w:val="0000FF"/>
      <w:u w:val="single"/>
    </w:rPr>
  </w:style>
  <w:style w:type="paragraph" w:styleId="NormalWeb">
    <w:name w:val="Normal (Web)"/>
    <w:basedOn w:val="Normal"/>
    <w:uiPriority w:val="99"/>
    <w:semiHidden/>
    <w:unhideWhenUsed/>
    <w:rsid w:val="009A50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68449">
      <w:bodyDiv w:val="1"/>
      <w:marLeft w:val="0"/>
      <w:marRight w:val="0"/>
      <w:marTop w:val="0"/>
      <w:marBottom w:val="0"/>
      <w:divBdr>
        <w:top w:val="none" w:sz="0" w:space="0" w:color="auto"/>
        <w:left w:val="none" w:sz="0" w:space="0" w:color="auto"/>
        <w:bottom w:val="none" w:sz="0" w:space="0" w:color="auto"/>
        <w:right w:val="none" w:sz="0" w:space="0" w:color="auto"/>
      </w:divBdr>
    </w:div>
    <w:div w:id="639919123">
      <w:bodyDiv w:val="1"/>
      <w:marLeft w:val="0"/>
      <w:marRight w:val="0"/>
      <w:marTop w:val="0"/>
      <w:marBottom w:val="0"/>
      <w:divBdr>
        <w:top w:val="none" w:sz="0" w:space="0" w:color="auto"/>
        <w:left w:val="none" w:sz="0" w:space="0" w:color="auto"/>
        <w:bottom w:val="none" w:sz="0" w:space="0" w:color="auto"/>
        <w:right w:val="none" w:sz="0" w:space="0" w:color="auto"/>
      </w:divBdr>
    </w:div>
    <w:div w:id="750078492">
      <w:bodyDiv w:val="1"/>
      <w:marLeft w:val="0"/>
      <w:marRight w:val="0"/>
      <w:marTop w:val="0"/>
      <w:marBottom w:val="0"/>
      <w:divBdr>
        <w:top w:val="none" w:sz="0" w:space="0" w:color="auto"/>
        <w:left w:val="none" w:sz="0" w:space="0" w:color="auto"/>
        <w:bottom w:val="none" w:sz="0" w:space="0" w:color="auto"/>
        <w:right w:val="none" w:sz="0" w:space="0" w:color="auto"/>
      </w:divBdr>
    </w:div>
    <w:div w:id="1687705876">
      <w:bodyDiv w:val="1"/>
      <w:marLeft w:val="0"/>
      <w:marRight w:val="0"/>
      <w:marTop w:val="0"/>
      <w:marBottom w:val="0"/>
      <w:divBdr>
        <w:top w:val="none" w:sz="0" w:space="0" w:color="auto"/>
        <w:left w:val="none" w:sz="0" w:space="0" w:color="auto"/>
        <w:bottom w:val="none" w:sz="0" w:space="0" w:color="auto"/>
        <w:right w:val="none" w:sz="0" w:space="0" w:color="auto"/>
      </w:divBdr>
      <w:divsChild>
        <w:div w:id="537864126">
          <w:marLeft w:val="0"/>
          <w:marRight w:val="0"/>
          <w:marTop w:val="0"/>
          <w:marBottom w:val="0"/>
          <w:divBdr>
            <w:top w:val="single" w:sz="6" w:space="11" w:color="DFE1E5"/>
            <w:left w:val="none" w:sz="0" w:space="0" w:color="auto"/>
            <w:bottom w:val="none" w:sz="0" w:space="0" w:color="auto"/>
            <w:right w:val="none" w:sz="0" w:space="0" w:color="auto"/>
          </w:divBdr>
        </w:div>
        <w:div w:id="1900631102">
          <w:marLeft w:val="0"/>
          <w:marRight w:val="0"/>
          <w:marTop w:val="0"/>
          <w:marBottom w:val="0"/>
          <w:divBdr>
            <w:top w:val="none" w:sz="0" w:space="0" w:color="auto"/>
            <w:left w:val="none" w:sz="0" w:space="0" w:color="auto"/>
            <w:bottom w:val="none" w:sz="0" w:space="0" w:color="auto"/>
            <w:right w:val="none" w:sz="0" w:space="0" w:color="auto"/>
          </w:divBdr>
          <w:divsChild>
            <w:div w:id="1853647188">
              <w:marLeft w:val="0"/>
              <w:marRight w:val="0"/>
              <w:marTop w:val="0"/>
              <w:marBottom w:val="0"/>
              <w:divBdr>
                <w:top w:val="none" w:sz="0" w:space="0" w:color="auto"/>
                <w:left w:val="none" w:sz="0" w:space="0" w:color="auto"/>
                <w:bottom w:val="none" w:sz="0" w:space="0" w:color="auto"/>
                <w:right w:val="none" w:sz="0" w:space="0" w:color="auto"/>
              </w:divBdr>
              <w:divsChild>
                <w:div w:id="129976568">
                  <w:marLeft w:val="150"/>
                  <w:marRight w:val="150"/>
                  <w:marTop w:val="0"/>
                  <w:marBottom w:val="0"/>
                  <w:divBdr>
                    <w:top w:val="single" w:sz="6" w:space="0" w:color="DFE1E5"/>
                    <w:left w:val="single" w:sz="6" w:space="0" w:color="DFE1E5"/>
                    <w:bottom w:val="single" w:sz="6" w:space="12" w:color="DFE1E5"/>
                    <w:right w:val="single" w:sz="6" w:space="0" w:color="DFE1E5"/>
                  </w:divBdr>
                  <w:divsChild>
                    <w:div w:id="623780072">
                      <w:marLeft w:val="0"/>
                      <w:marRight w:val="0"/>
                      <w:marTop w:val="60"/>
                      <w:marBottom w:val="300"/>
                      <w:divBdr>
                        <w:top w:val="none" w:sz="0" w:space="0" w:color="auto"/>
                        <w:left w:val="none" w:sz="0" w:space="0" w:color="auto"/>
                        <w:bottom w:val="none" w:sz="0" w:space="0" w:color="auto"/>
                        <w:right w:val="none" w:sz="0" w:space="0" w:color="auto"/>
                      </w:divBdr>
                      <w:divsChild>
                        <w:div w:id="1361131281">
                          <w:marLeft w:val="0"/>
                          <w:marRight w:val="0"/>
                          <w:marTop w:val="0"/>
                          <w:marBottom w:val="0"/>
                          <w:divBdr>
                            <w:top w:val="none" w:sz="0" w:space="0" w:color="auto"/>
                            <w:left w:val="none" w:sz="0" w:space="0" w:color="auto"/>
                            <w:bottom w:val="none" w:sz="0" w:space="0" w:color="auto"/>
                            <w:right w:val="none" w:sz="0" w:space="0" w:color="auto"/>
                          </w:divBdr>
                          <w:divsChild>
                            <w:div w:id="1148284611">
                              <w:marLeft w:val="0"/>
                              <w:marRight w:val="0"/>
                              <w:marTop w:val="0"/>
                              <w:marBottom w:val="0"/>
                              <w:divBdr>
                                <w:top w:val="none" w:sz="0" w:space="0" w:color="auto"/>
                                <w:left w:val="none" w:sz="0" w:space="0" w:color="auto"/>
                                <w:bottom w:val="none" w:sz="0" w:space="0" w:color="auto"/>
                                <w:right w:val="none" w:sz="0" w:space="0" w:color="auto"/>
                              </w:divBdr>
                            </w:div>
                            <w:div w:id="14471953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oppr.com/guides/general-awareness/rbi/" TargetMode="External" /><Relationship Id="rId5" Type="http://schemas.openxmlformats.org/officeDocument/2006/relationships/hyperlink" Target="https://www.toppr.com/guides/business-laws-cs/cyber-laws/digital-signature/"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6</cp:revision>
  <dcterms:created xsi:type="dcterms:W3CDTF">2020-05-08T06:32:00Z</dcterms:created>
  <dcterms:modified xsi:type="dcterms:W3CDTF">2020-05-08T13:52:00Z</dcterms:modified>
</cp:coreProperties>
</file>